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B9" w:rsidRDefault="002C55B9" w:rsidP="002C55B9">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10 diez de julio del año 2017 dos mil diecisiete. . . . .</w:t>
      </w:r>
    </w:p>
    <w:p w:rsidR="002C55B9" w:rsidRDefault="002C55B9" w:rsidP="002C55B9">
      <w:pPr>
        <w:rPr>
          <w:rFonts w:ascii="Calibri" w:hAnsi="Calibri" w:cs="Calibri"/>
          <w:color w:val="767171" w:themeColor="background2" w:themeShade="80"/>
          <w:sz w:val="26"/>
          <w:szCs w:val="26"/>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0280/2doJAM/2017-JN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2C55B9" w:rsidRDefault="002C55B9" w:rsidP="002C55B9">
      <w:pPr>
        <w:pStyle w:val="Textoindependiente"/>
        <w:rPr>
          <w:rFonts w:ascii="Calibri" w:hAnsi="Calibri" w:cs="Calibri"/>
          <w:color w:val="767171" w:themeColor="background2" w:themeShade="80"/>
          <w:sz w:val="26"/>
          <w:szCs w:val="26"/>
        </w:rPr>
      </w:pPr>
    </w:p>
    <w:p w:rsidR="002C55B9" w:rsidRDefault="002C55B9" w:rsidP="002C55B9">
      <w:pPr>
        <w:pStyle w:val="Textoindependiente"/>
        <w:rPr>
          <w:rFonts w:ascii="Calibri" w:hAnsi="Calibri" w:cs="Calibri"/>
          <w:color w:val="767171" w:themeColor="background2" w:themeShade="80"/>
          <w:sz w:val="26"/>
          <w:szCs w:val="26"/>
        </w:rPr>
      </w:pPr>
    </w:p>
    <w:p w:rsidR="002C55B9" w:rsidRDefault="002C55B9" w:rsidP="002C55B9">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2C55B9" w:rsidRDefault="002C55B9" w:rsidP="002C55B9">
      <w:pPr>
        <w:pStyle w:val="Textoindependiente"/>
        <w:ind w:firstLine="708"/>
        <w:jc w:val="center"/>
        <w:rPr>
          <w:rFonts w:ascii="Calibri" w:hAnsi="Calibri" w:cs="Calibri"/>
          <w:b/>
          <w:bCs/>
          <w:color w:val="767171" w:themeColor="background2" w:themeShade="80"/>
          <w:sz w:val="26"/>
          <w:szCs w:val="26"/>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en curso, sin que de las constancias de la presente causa administrativa se desprenda lo contrario. . . . . . . . . . . . . . . . . . . . . . . . . . . . . . . . . . . . . . . . . . . . . . . . . . </w:t>
      </w:r>
    </w:p>
    <w:p w:rsidR="002C55B9" w:rsidRDefault="002C55B9" w:rsidP="002C55B9">
      <w:pPr>
        <w:jc w:val="both"/>
        <w:rPr>
          <w:rFonts w:ascii="Calibri" w:hAnsi="Calibri" w:cs="Calibri"/>
          <w:b/>
          <w:i/>
          <w:iCs/>
          <w:color w:val="767171" w:themeColor="background2" w:themeShade="80"/>
          <w:sz w:val="26"/>
          <w:szCs w:val="26"/>
          <w:lang w:val="es-MX"/>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362611 (tres-seis-dos-seis-uno-uno), de fecha 19 diecinueve de enero del año 2017 dos mil diecisiete; documento que, admitido como prueba a las partes (visible a foja 16 dieciséis), merece pleno valor probatorio, conforme lo dispuesto en los artículos 78, 81, 117, 118, 121 y 131 del Código de Procedimiento y Justicia Administrativa para el </w:t>
      </w:r>
    </w:p>
    <w:p w:rsidR="002C55B9" w:rsidRDefault="002C55B9" w:rsidP="002C55B9">
      <w:pPr>
        <w:ind w:firstLine="708"/>
        <w:jc w:val="both"/>
        <w:rPr>
          <w:rFonts w:ascii="Calibri" w:hAnsi="Calibri" w:cs="Calibri"/>
          <w:color w:val="767171" w:themeColor="background2" w:themeShade="80"/>
          <w:sz w:val="26"/>
          <w:szCs w:val="26"/>
        </w:rPr>
      </w:pPr>
    </w:p>
    <w:p w:rsidR="002C55B9" w:rsidRDefault="002C55B9" w:rsidP="002C55B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0280/2doJAM/2017-JN</w:t>
      </w:r>
    </w:p>
    <w:p w:rsidR="002C55B9" w:rsidRDefault="002C55B9" w:rsidP="002C55B9">
      <w:pPr>
        <w:ind w:firstLine="708"/>
        <w:jc w:val="both"/>
        <w:rPr>
          <w:rFonts w:ascii="Calibri" w:hAnsi="Calibri" w:cs="Calibri"/>
          <w:color w:val="767171" w:themeColor="background2" w:themeShade="80"/>
          <w:sz w:val="26"/>
          <w:szCs w:val="26"/>
        </w:rPr>
      </w:pPr>
    </w:p>
    <w:p w:rsidR="002C55B9" w:rsidRDefault="002C55B9" w:rsidP="002C55B9">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2C55B9" w:rsidRDefault="002C55B9" w:rsidP="002C55B9">
      <w:pPr>
        <w:jc w:val="both"/>
        <w:rPr>
          <w:rFonts w:ascii="Calibri" w:hAnsi="Calibri" w:cs="Calibri"/>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2C55B9" w:rsidRDefault="002C55B9" w:rsidP="002C55B9">
      <w:pPr>
        <w:jc w:val="both"/>
        <w:rPr>
          <w:rFonts w:ascii="Calibri" w:hAnsi="Calibri" w:cs="Calibri"/>
          <w:b/>
          <w:bCs/>
          <w:i/>
          <w:iCs/>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2C55B9" w:rsidRDefault="002C55B9" w:rsidP="002C55B9">
      <w:pPr>
        <w:rPr>
          <w:rFonts w:ascii="Calibri" w:hAnsi="Calibri" w:cs="Calibri"/>
          <w:b/>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2C55B9" w:rsidRDefault="002C55B9" w:rsidP="002C55B9">
      <w:pPr>
        <w:ind w:firstLine="708"/>
        <w:jc w:val="both"/>
        <w:rPr>
          <w:rFonts w:ascii="Calibri" w:hAnsi="Calibri" w:cs="Calibri"/>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4 cuatro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xml:space="preserve">. . . . . . . . . . . . . . . . . . . . . . . . . . . . . . . . . . . . . . . . </w:t>
      </w:r>
    </w:p>
    <w:p w:rsidR="002C55B9" w:rsidRDefault="002C55B9" w:rsidP="002C55B9">
      <w:pPr>
        <w:jc w:val="both"/>
        <w:rPr>
          <w:rFonts w:ascii="Calibri" w:hAnsi="Calibri" w:cs="Calibri"/>
          <w:b/>
          <w:bCs/>
          <w:i/>
          <w:iCs/>
          <w:color w:val="767171" w:themeColor="background2" w:themeShade="80"/>
          <w:sz w:val="26"/>
          <w:szCs w:val="26"/>
        </w:rPr>
      </w:pPr>
    </w:p>
    <w:p w:rsidR="002C55B9" w:rsidRDefault="002C55B9" w:rsidP="002C55B9">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2C55B9" w:rsidRDefault="002C55B9" w:rsidP="002C55B9">
      <w:pPr>
        <w:jc w:val="both"/>
        <w:rPr>
          <w:rFonts w:ascii="Calibri" w:hAnsi="Calibri" w:cs="Calibri"/>
          <w:b/>
          <w:bCs/>
          <w:i/>
          <w:iCs/>
          <w:color w:val="767171" w:themeColor="background2" w:themeShade="80"/>
          <w:sz w:val="26"/>
          <w:szCs w:val="26"/>
        </w:rPr>
      </w:pPr>
    </w:p>
    <w:p w:rsidR="002C55B9" w:rsidRDefault="002C55B9" w:rsidP="002C55B9">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2C55B9" w:rsidRDefault="002C55B9" w:rsidP="002C55B9">
      <w:pPr>
        <w:pStyle w:val="Sangradetextonormal"/>
        <w:ind w:left="0" w:firstLine="708"/>
        <w:jc w:val="both"/>
        <w:rPr>
          <w:rFonts w:ascii="Calibri" w:hAnsi="Calibri" w:cs="Calibri"/>
          <w:bCs/>
          <w:iCs/>
          <w:color w:val="767171" w:themeColor="background2" w:themeShade="80"/>
          <w:sz w:val="20"/>
          <w:szCs w:val="20"/>
        </w:rPr>
      </w:pPr>
    </w:p>
    <w:p w:rsidR="002C55B9" w:rsidRDefault="002C55B9" w:rsidP="002C55B9">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p>
    <w:p w:rsidR="002C55B9" w:rsidRDefault="002C55B9" w:rsidP="002C55B9">
      <w:pPr>
        <w:pStyle w:val="Sangradetextonormal"/>
        <w:jc w:val="both"/>
        <w:rPr>
          <w:rFonts w:ascii="Calibri" w:hAnsi="Calibri" w:cs="Calibri"/>
          <w:bCs/>
          <w:iCs/>
          <w:color w:val="767171" w:themeColor="background2" w:themeShade="80"/>
          <w:sz w:val="26"/>
          <w:szCs w:val="26"/>
        </w:rPr>
      </w:pPr>
    </w:p>
    <w:p w:rsidR="002C55B9" w:rsidRDefault="002C55B9" w:rsidP="002C55B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resulta procedente, pues es evidente que es un acto administrativo que </w:t>
      </w:r>
      <w:r>
        <w:rPr>
          <w:rFonts w:ascii="Calibri" w:hAnsi="Calibri" w:cs="Calibri"/>
          <w:bCs/>
          <w:iCs/>
          <w:color w:val="767171" w:themeColor="background2" w:themeShade="80"/>
          <w:sz w:val="26"/>
          <w:szCs w:val="26"/>
        </w:rPr>
        <w:t xml:space="preserve">genera </w:t>
      </w:r>
      <w:r>
        <w:rPr>
          <w:rFonts w:ascii="Calibri" w:hAnsi="Calibri" w:cs="Calibri"/>
          <w:bCs/>
          <w:iCs/>
          <w:color w:val="7F7F7F" w:themeColor="text1" w:themeTint="80"/>
          <w:sz w:val="26"/>
          <w:szCs w:val="26"/>
        </w:rPr>
        <w:t xml:space="preserve">un acto de molestia, ocasionado por una autoridad, a un particular y tan es así, que se ven afectados los intereses de la parte actora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w:t>
      </w:r>
    </w:p>
    <w:p w:rsidR="002C55B9" w:rsidRDefault="002C55B9" w:rsidP="002C55B9">
      <w:pPr>
        <w:pStyle w:val="Sangradetextonormal"/>
        <w:ind w:left="0" w:firstLine="708"/>
        <w:jc w:val="both"/>
        <w:rPr>
          <w:rFonts w:ascii="Calibri" w:hAnsi="Calibri" w:cs="Calibri"/>
          <w:bCs/>
          <w:iCs/>
          <w:color w:val="7F7F7F" w:themeColor="text1" w:themeTint="80"/>
          <w:sz w:val="26"/>
          <w:szCs w:val="26"/>
        </w:rPr>
      </w:pPr>
    </w:p>
    <w:p w:rsidR="002C55B9" w:rsidRDefault="002C55B9" w:rsidP="002C55B9">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2C55B9" w:rsidRDefault="002C55B9" w:rsidP="002C55B9">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2C55B9" w:rsidRDefault="002C55B9" w:rsidP="002C55B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0280/2doJAM/2017-JN</w:t>
      </w:r>
    </w:p>
    <w:p w:rsidR="002C55B9" w:rsidRDefault="002C55B9" w:rsidP="002C55B9">
      <w:pPr>
        <w:ind w:firstLine="708"/>
        <w:jc w:val="both"/>
        <w:rPr>
          <w:rFonts w:ascii="Calibri" w:hAnsi="Calibri" w:cs="Calibri"/>
          <w:b/>
          <w:bCs/>
          <w:i/>
          <w:iCs/>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C55B9" w:rsidRDefault="002C55B9" w:rsidP="002C55B9">
      <w:pPr>
        <w:ind w:firstLine="708"/>
        <w:jc w:val="both"/>
        <w:rPr>
          <w:rFonts w:ascii="Calibri" w:hAnsi="Calibri" w:cs="Calibri"/>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“Terminal San Juan Bosco”, </w:t>
      </w:r>
      <w:r>
        <w:rPr>
          <w:rFonts w:ascii="Calibri" w:hAnsi="Calibri" w:cs="Calibri"/>
          <w:iCs/>
          <w:color w:val="767171" w:themeColor="background2" w:themeShade="80"/>
          <w:sz w:val="26"/>
          <w:szCs w:val="26"/>
        </w:rPr>
        <w:t xml:space="preserve">de la colonia </w:t>
      </w:r>
      <w:r>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362611 (tres-seis-dos-seis-uno-uno), en la que señaló como concepto de la infracción: </w:t>
      </w:r>
      <w:r>
        <w:rPr>
          <w:rFonts w:ascii="Calibri" w:hAnsi="Calibri" w:cs="Calibri"/>
          <w:i/>
          <w:color w:val="767171" w:themeColor="background2" w:themeShade="80"/>
          <w:sz w:val="26"/>
          <w:szCs w:val="26"/>
        </w:rPr>
        <w:t>“cumplir con los horarios, rutas, itinerarios y frecuencias autorizadas en la prestación del servicio. (Me encontraba aforando….la ruta A-65 frente a su cajón….percatándome que la empresa no cumplió con  el despacho #99 programado a las 21:58…..)”</w:t>
      </w:r>
      <w:r>
        <w:rPr>
          <w:rFonts w:ascii="Calibri" w:hAnsi="Calibri" w:cs="Calibri"/>
          <w:color w:val="767171" w:themeColor="background2" w:themeShade="80"/>
          <w:sz w:val="26"/>
          <w:szCs w:val="26"/>
        </w:rPr>
        <w:t>. . . . . . . . . . . . . . . . . . . .</w:t>
      </w:r>
    </w:p>
    <w:p w:rsidR="002C55B9" w:rsidRDefault="002C55B9" w:rsidP="002C55B9">
      <w:pPr>
        <w:jc w:val="both"/>
        <w:rPr>
          <w:rFonts w:ascii="Calibri" w:hAnsi="Calibri" w:cs="Calibri"/>
          <w:i/>
          <w:color w:val="767171" w:themeColor="background2" w:themeShade="80"/>
          <w:sz w:val="26"/>
          <w:szCs w:val="26"/>
        </w:rPr>
      </w:pPr>
    </w:p>
    <w:p w:rsidR="002C55B9" w:rsidRDefault="002C55B9" w:rsidP="002C55B9">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 . . . . . . </w:t>
      </w:r>
    </w:p>
    <w:p w:rsidR="002C55B9" w:rsidRDefault="002C55B9" w:rsidP="002C55B9">
      <w:pPr>
        <w:pStyle w:val="Textoindependiente"/>
        <w:tabs>
          <w:tab w:val="left" w:pos="3594"/>
        </w:tabs>
        <w:rPr>
          <w:rFonts w:ascii="Calibri" w:hAnsi="Calibri" w:cs="Calibri"/>
          <w:color w:val="767171" w:themeColor="background2" w:themeShade="80"/>
          <w:sz w:val="26"/>
          <w:szCs w:val="26"/>
          <w:lang w:val="es-ES"/>
        </w:rPr>
      </w:pPr>
    </w:p>
    <w:p w:rsidR="002C55B9" w:rsidRDefault="002C55B9" w:rsidP="002C55B9">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2C55B9" w:rsidRDefault="002C55B9" w:rsidP="002C55B9">
      <w:pPr>
        <w:pStyle w:val="Textoindependiente"/>
        <w:tabs>
          <w:tab w:val="left" w:pos="3594"/>
        </w:tabs>
        <w:rPr>
          <w:rFonts w:ascii="Calibri" w:hAnsi="Calibri" w:cs="Calibri"/>
          <w:iCs/>
          <w:color w:val="767171" w:themeColor="background2" w:themeShade="80"/>
          <w:sz w:val="26"/>
          <w:szCs w:val="26"/>
        </w:rPr>
      </w:pPr>
    </w:p>
    <w:p w:rsidR="002C55B9" w:rsidRDefault="002C55B9" w:rsidP="002C55B9">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C55B9" w:rsidRDefault="002C55B9" w:rsidP="002C55B9">
      <w:pPr>
        <w:pStyle w:val="Textoindependiente"/>
        <w:tabs>
          <w:tab w:val="left" w:pos="3594"/>
        </w:tabs>
        <w:rPr>
          <w:rFonts w:ascii="Calibri" w:hAnsi="Calibri" w:cs="Calibri"/>
          <w:iCs/>
          <w:color w:val="767171" w:themeColor="background2" w:themeShade="80"/>
          <w:sz w:val="26"/>
          <w:szCs w:val="26"/>
        </w:rPr>
      </w:pPr>
    </w:p>
    <w:p w:rsidR="002C55B9" w:rsidRDefault="002C55B9" w:rsidP="002C55B9">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362611 (tres-seis-dos-seis-uno-uno),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2C55B9" w:rsidRDefault="002C55B9" w:rsidP="002C55B9">
      <w:pPr>
        <w:jc w:val="both"/>
        <w:rPr>
          <w:color w:val="767171" w:themeColor="background2" w:themeShade="80"/>
          <w:sz w:val="22"/>
        </w:rPr>
      </w:pPr>
    </w:p>
    <w:p w:rsidR="002C55B9" w:rsidRDefault="002C55B9" w:rsidP="002C55B9">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w:t>
      </w:r>
      <w:r>
        <w:rPr>
          <w:rFonts w:ascii="Calibri" w:hAnsi="Calibri"/>
          <w:color w:val="767171" w:themeColor="background2" w:themeShade="80"/>
          <w:sz w:val="26"/>
        </w:rPr>
        <w:lastRenderedPageBreak/>
        <w:t xml:space="preserve">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C55B9" w:rsidRDefault="002C55B9" w:rsidP="002C55B9">
      <w:pPr>
        <w:ind w:firstLine="708"/>
        <w:jc w:val="both"/>
        <w:rPr>
          <w:color w:val="767171" w:themeColor="background2" w:themeShade="80"/>
          <w:lang w:val="es-MX"/>
        </w:rPr>
      </w:pPr>
    </w:p>
    <w:p w:rsidR="002C55B9" w:rsidRDefault="002C55B9" w:rsidP="002C55B9">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C55B9" w:rsidRDefault="002C55B9" w:rsidP="002C55B9">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2C55B9" w:rsidRDefault="002C55B9" w:rsidP="002C55B9">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Causa agravio </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2C55B9" w:rsidRDefault="002C55B9" w:rsidP="002C55B9">
      <w:pPr>
        <w:ind w:firstLine="708"/>
        <w:jc w:val="both"/>
        <w:rPr>
          <w:rFonts w:ascii="Calibri" w:hAnsi="Calibri" w:cs="Calibri"/>
          <w:iCs/>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2C55B9" w:rsidRDefault="002C55B9" w:rsidP="002C55B9">
      <w:pPr>
        <w:jc w:val="both"/>
        <w:rPr>
          <w:rFonts w:ascii="Calibri" w:hAnsi="Calibri" w:cs="Calibri"/>
          <w:bCs/>
          <w:color w:val="767171" w:themeColor="background2" w:themeShade="80"/>
          <w:sz w:val="26"/>
          <w:szCs w:val="26"/>
        </w:rPr>
      </w:pPr>
    </w:p>
    <w:p w:rsidR="002C55B9" w:rsidRDefault="002C55B9" w:rsidP="002C55B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362611 (tres-seis-dos-seis-uno-uno), de fecha 19 diecinueve de enero del año 2017 dos mil diecisiete, </w:t>
      </w:r>
      <w:r>
        <w:rPr>
          <w:rFonts w:ascii="Calibri" w:hAnsi="Calibri" w:cs="Calibri"/>
          <w:bCs/>
          <w:color w:val="767171" w:themeColor="background2" w:themeShade="80"/>
          <w:sz w:val="26"/>
          <w:szCs w:val="26"/>
        </w:rPr>
        <w:t>en contravención del artículo señalado como infringido, conforme lo que se dilucida a continuación: . . . . . . . . . . . . . . . . . . . . . . . . . . . . . . . . . . . . . . . . . . . . . . . . .</w:t>
      </w:r>
      <w:r>
        <w:rPr>
          <w:rFonts w:ascii="Calibri" w:hAnsi="Calibri" w:cs="Calibri"/>
          <w:color w:val="767171" w:themeColor="background2" w:themeShade="80"/>
          <w:sz w:val="26"/>
          <w:szCs w:val="26"/>
        </w:rPr>
        <w:t xml:space="preserve"> </w:t>
      </w:r>
    </w:p>
    <w:p w:rsidR="002C55B9" w:rsidRDefault="002C55B9" w:rsidP="002C55B9">
      <w:pPr>
        <w:jc w:val="both"/>
        <w:rPr>
          <w:rFonts w:ascii="Calibri" w:hAnsi="Calibri" w:cs="Calibri"/>
          <w:bCs/>
          <w:color w:val="767171" w:themeColor="background2" w:themeShade="80"/>
          <w:sz w:val="20"/>
          <w:szCs w:val="20"/>
        </w:rPr>
      </w:pPr>
    </w:p>
    <w:p w:rsidR="002C55B9" w:rsidRDefault="002C55B9" w:rsidP="002C55B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w:t>
      </w:r>
      <w:r>
        <w:rPr>
          <w:rFonts w:ascii="Calibri" w:hAnsi="Calibri" w:cs="Calibri"/>
          <w:bCs/>
          <w:color w:val="767171" w:themeColor="background2" w:themeShade="80"/>
          <w:sz w:val="26"/>
          <w:szCs w:val="26"/>
        </w:rPr>
        <w:lastRenderedPageBreak/>
        <w:t xml:space="preserve">contravención de dicho dispositivo, al señalar como infractor ***** y no al 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2C55B9" w:rsidRDefault="002C55B9" w:rsidP="002C55B9">
      <w:pPr>
        <w:ind w:firstLine="708"/>
        <w:jc w:val="both"/>
        <w:rPr>
          <w:rFonts w:ascii="Calibri" w:hAnsi="Calibri" w:cs="Calibri"/>
          <w:bCs/>
          <w:color w:val="767171" w:themeColor="background2" w:themeShade="80"/>
          <w:sz w:val="26"/>
          <w:szCs w:val="26"/>
        </w:rPr>
      </w:pPr>
    </w:p>
    <w:p w:rsidR="002C55B9" w:rsidRDefault="002C55B9" w:rsidP="002C55B9">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2C55B9" w:rsidRDefault="002C55B9" w:rsidP="002C55B9">
      <w:pPr>
        <w:jc w:val="both"/>
        <w:rPr>
          <w:rFonts w:asciiTheme="minorHAnsi" w:hAnsiTheme="minorHAnsi" w:cs="Calibri"/>
          <w:bCs/>
          <w:color w:val="767171" w:themeColor="background2" w:themeShade="80"/>
          <w:sz w:val="26"/>
          <w:szCs w:val="26"/>
        </w:rPr>
      </w:pPr>
    </w:p>
    <w:p w:rsidR="002C55B9" w:rsidRDefault="002C55B9" w:rsidP="002C55B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w:t>
      </w:r>
    </w:p>
    <w:p w:rsidR="002C55B9" w:rsidRDefault="002C55B9" w:rsidP="002C55B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0280/2doJAM/2017-JN</w:t>
      </w:r>
    </w:p>
    <w:p w:rsidR="002C55B9" w:rsidRDefault="002C55B9" w:rsidP="002C55B9">
      <w:pPr>
        <w:jc w:val="both"/>
        <w:rPr>
          <w:rFonts w:ascii="Calibri" w:hAnsi="Calibri" w:cs="Calibri"/>
          <w:bCs/>
          <w:color w:val="767171" w:themeColor="background2" w:themeShade="80"/>
          <w:sz w:val="26"/>
          <w:szCs w:val="26"/>
        </w:rPr>
      </w:pPr>
    </w:p>
    <w:p w:rsidR="002C55B9" w:rsidRDefault="002C55B9" w:rsidP="002C55B9">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2C55B9" w:rsidRDefault="002C55B9" w:rsidP="002C55B9">
      <w:pPr>
        <w:ind w:firstLine="708"/>
        <w:jc w:val="both"/>
        <w:rPr>
          <w:rFonts w:ascii="Calibri" w:hAnsi="Calibri" w:cs="Calibri"/>
          <w:bCs/>
          <w:color w:val="767171" w:themeColor="background2" w:themeShade="80"/>
          <w:sz w:val="26"/>
          <w:szCs w:val="26"/>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362611 (tres-seis-dos-seis-uno-uno),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p>
    <w:p w:rsidR="002C55B9" w:rsidRDefault="002C55B9" w:rsidP="002C55B9">
      <w:pPr>
        <w:jc w:val="both"/>
        <w:rPr>
          <w:rFonts w:ascii="Calibri" w:hAnsi="Calibri" w:cs="Calibri"/>
          <w:bCs/>
          <w:color w:val="767171" w:themeColor="background2" w:themeShade="80"/>
          <w:sz w:val="20"/>
          <w:szCs w:val="20"/>
        </w:rPr>
      </w:pPr>
    </w:p>
    <w:p w:rsidR="002C55B9" w:rsidRDefault="002C55B9" w:rsidP="002C55B9">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xml:space="preserve">. . . . . . . . . . . . . . . . . . . . . . . . . . . . . . . . . </w:t>
      </w:r>
    </w:p>
    <w:p w:rsidR="002C55B9" w:rsidRDefault="002C55B9" w:rsidP="002C55B9">
      <w:pPr>
        <w:jc w:val="both"/>
        <w:rPr>
          <w:rFonts w:ascii="Calibri" w:hAnsi="Calibri" w:cs="Calibri"/>
          <w:color w:val="767171" w:themeColor="background2" w:themeShade="80"/>
          <w:sz w:val="20"/>
          <w:szCs w:val="20"/>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362611</w:t>
      </w:r>
      <w:r>
        <w:rPr>
          <w:rFonts w:ascii="Calibri" w:hAnsi="Calibri" w:cs="Calibri"/>
          <w:color w:val="767171" w:themeColor="background2" w:themeShade="80"/>
          <w:sz w:val="26"/>
          <w:szCs w:val="26"/>
        </w:rPr>
        <w:t xml:space="preserve"> (tres-seis-dos-seis-uno-uno),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w:t>
      </w:r>
    </w:p>
    <w:p w:rsidR="002C55B9" w:rsidRDefault="002C55B9" w:rsidP="002C55B9">
      <w:pPr>
        <w:ind w:firstLine="708"/>
        <w:jc w:val="both"/>
        <w:rPr>
          <w:rFonts w:ascii="Calibri" w:hAnsi="Calibri" w:cs="Calibri"/>
          <w:color w:val="767171" w:themeColor="background2" w:themeShade="80"/>
          <w:sz w:val="26"/>
          <w:szCs w:val="26"/>
        </w:rPr>
      </w:pPr>
    </w:p>
    <w:p w:rsidR="002C55B9" w:rsidRDefault="002C55B9" w:rsidP="002C55B9">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C55B9" w:rsidRDefault="002C55B9" w:rsidP="002C55B9">
      <w:pPr>
        <w:pStyle w:val="Textoindependiente"/>
        <w:rPr>
          <w:rFonts w:ascii="Calibri" w:hAnsi="Calibri" w:cs="Arial"/>
          <w:color w:val="767171" w:themeColor="background2" w:themeShade="80"/>
          <w:sz w:val="20"/>
          <w:szCs w:val="27"/>
          <w:lang w:val="es-ES"/>
        </w:rPr>
      </w:pPr>
    </w:p>
    <w:p w:rsidR="002C55B9" w:rsidRDefault="002C55B9" w:rsidP="002C55B9">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2C55B9" w:rsidRDefault="002C55B9" w:rsidP="002C55B9">
      <w:pPr>
        <w:pStyle w:val="Textoindependiente"/>
        <w:rPr>
          <w:rFonts w:ascii="Calibri" w:hAnsi="Calibri"/>
          <w:b/>
          <w:bCs/>
          <w:i/>
          <w:iCs/>
          <w:color w:val="767171" w:themeColor="background2" w:themeShade="80"/>
          <w:sz w:val="26"/>
          <w:szCs w:val="27"/>
        </w:rPr>
      </w:pPr>
    </w:p>
    <w:p w:rsidR="002C55B9" w:rsidRDefault="002C55B9" w:rsidP="002C55B9">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2C55B9" w:rsidRDefault="002C55B9" w:rsidP="002C55B9">
      <w:pPr>
        <w:pStyle w:val="Textoindependiente"/>
        <w:ind w:firstLine="708"/>
        <w:rPr>
          <w:rFonts w:ascii="Calibri" w:hAnsi="Calibri"/>
          <w:b/>
          <w:i/>
          <w:color w:val="767171" w:themeColor="background2" w:themeShade="80"/>
          <w:sz w:val="26"/>
        </w:rPr>
      </w:pPr>
    </w:p>
    <w:p w:rsidR="002C55B9" w:rsidRDefault="002C55B9" w:rsidP="002C55B9">
      <w:pPr>
        <w:pStyle w:val="Textoindependiente"/>
        <w:ind w:firstLine="708"/>
        <w:rPr>
          <w:rFonts w:ascii="Calibri" w:hAnsi="Calibri" w:cs="Arial"/>
          <w:color w:val="7F7F7F" w:themeColor="text1" w:themeTint="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 . . . . . . . . . . . . . . . . . . . . . . . . . . . . . . . . . . . . . . . .  </w:t>
      </w:r>
      <w:r>
        <w:rPr>
          <w:rFonts w:ascii="Calibri" w:hAnsi="Calibri" w:cs="Calibri"/>
          <w:color w:val="767171" w:themeColor="background2" w:themeShade="80"/>
          <w:sz w:val="26"/>
          <w:szCs w:val="26"/>
        </w:rPr>
        <w:t xml:space="preserve">. </w:t>
      </w:r>
    </w:p>
    <w:p w:rsidR="002C55B9" w:rsidRDefault="002C55B9" w:rsidP="002C55B9">
      <w:pPr>
        <w:pStyle w:val="Textoindependiente"/>
        <w:ind w:firstLine="708"/>
        <w:rPr>
          <w:rFonts w:ascii="Calibri" w:hAnsi="Calibri" w:cs="Arial"/>
          <w:color w:val="7F7F7F" w:themeColor="text1" w:themeTint="80"/>
          <w:sz w:val="26"/>
          <w:szCs w:val="27"/>
        </w:rPr>
      </w:pPr>
    </w:p>
    <w:p w:rsidR="002C55B9" w:rsidRDefault="002C55B9" w:rsidP="002C55B9">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cs="Arial"/>
          <w:b/>
          <w:color w:val="7F7F7F" w:themeColor="text1" w:themeTint="80"/>
          <w:sz w:val="26"/>
          <w:szCs w:val="27"/>
        </w:rPr>
        <w:t>reconoce</w:t>
      </w:r>
      <w:r>
        <w:rPr>
          <w:rFonts w:ascii="Calibri" w:hAnsi="Calibri" w:cs="Arial"/>
          <w:color w:val="7F7F7F" w:themeColor="text1" w:themeTint="80"/>
          <w:sz w:val="26"/>
          <w:szCs w:val="27"/>
        </w:rPr>
        <w:t xml:space="preserve"> el derecho que tiene la poderdante del impugnador a la </w:t>
      </w:r>
      <w:r>
        <w:rPr>
          <w:rFonts w:ascii="Calibri" w:hAnsi="Calibri" w:cs="Arial"/>
          <w:b/>
          <w:color w:val="7F7F7F" w:themeColor="text1" w:themeTint="80"/>
          <w:sz w:val="26"/>
          <w:szCs w:val="27"/>
        </w:rPr>
        <w:t>devolución</w:t>
      </w:r>
      <w:r>
        <w:rPr>
          <w:rFonts w:ascii="Calibri" w:hAnsi="Calibri" w:cs="Arial"/>
          <w:color w:val="7F7F7F" w:themeColor="text1" w:themeTint="80"/>
          <w:sz w:val="26"/>
          <w:szCs w:val="27"/>
        </w:rPr>
        <w:t xml:space="preserve"> de las tablillas de circulación que se hayan retenido, al ya no existir razón alguna para su </w:t>
      </w:r>
      <w:r>
        <w:rPr>
          <w:rFonts w:ascii="Calibri" w:hAnsi="Calibri" w:cs="Arial"/>
          <w:color w:val="7F7F7F" w:themeColor="text1" w:themeTint="80"/>
          <w:sz w:val="26"/>
          <w:szCs w:val="27"/>
        </w:rPr>
        <w:lastRenderedPageBreak/>
        <w:t xml:space="preserve">retención, condenándose al Inspector demandado a que proceda a realizar dicha devolución. . . .  . . . . . . . . . . . . . . . . . . . . . . . . . . . . . . . </w:t>
      </w:r>
    </w:p>
    <w:p w:rsidR="002C55B9" w:rsidRDefault="002C55B9" w:rsidP="002C55B9">
      <w:pPr>
        <w:pStyle w:val="Textoindependiente"/>
        <w:ind w:firstLine="708"/>
        <w:rPr>
          <w:rFonts w:ascii="Calibri" w:hAnsi="Calibri" w:cs="Calibri"/>
          <w:color w:val="767171" w:themeColor="background2" w:themeShade="80"/>
          <w:sz w:val="26"/>
          <w:szCs w:val="26"/>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2C55B9" w:rsidRDefault="002C55B9" w:rsidP="002C55B9">
      <w:pPr>
        <w:pStyle w:val="Textoindependiente"/>
        <w:ind w:firstLine="708"/>
        <w:rPr>
          <w:rFonts w:ascii="Calibri" w:hAnsi="Calibri" w:cs="Calibri"/>
          <w:color w:val="767171" w:themeColor="background2" w:themeShade="80"/>
          <w:sz w:val="20"/>
          <w:szCs w:val="20"/>
        </w:rPr>
      </w:pPr>
    </w:p>
    <w:p w:rsidR="002C55B9" w:rsidRDefault="002C55B9" w:rsidP="002C55B9">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2C55B9" w:rsidRDefault="002C55B9" w:rsidP="002C55B9">
      <w:pPr>
        <w:pStyle w:val="Textoindependiente"/>
        <w:rPr>
          <w:rFonts w:ascii="Calibri" w:hAnsi="Calibri" w:cs="Calibri"/>
          <w:color w:val="767171" w:themeColor="background2" w:themeShade="80"/>
          <w:sz w:val="20"/>
          <w:szCs w:val="20"/>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2C55B9" w:rsidRDefault="002C55B9" w:rsidP="002C55B9">
      <w:pPr>
        <w:pStyle w:val="Textoindependiente"/>
        <w:ind w:firstLine="708"/>
        <w:rPr>
          <w:rFonts w:ascii="Calibri" w:hAnsi="Calibri" w:cs="Calibri"/>
          <w:color w:val="767171" w:themeColor="background2" w:themeShade="80"/>
          <w:sz w:val="20"/>
          <w:szCs w:val="20"/>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2C55B9" w:rsidRDefault="002C55B9" w:rsidP="002C55B9">
      <w:pPr>
        <w:pStyle w:val="Textoindependiente"/>
        <w:ind w:firstLine="708"/>
        <w:rPr>
          <w:rFonts w:ascii="Calibri" w:hAnsi="Calibri" w:cs="Calibri"/>
          <w:bCs/>
          <w:iCs/>
          <w:color w:val="767171" w:themeColor="background2" w:themeShade="80"/>
          <w:sz w:val="20"/>
          <w:szCs w:val="20"/>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362611 (tres-seis-dos-seis-uno-uno),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2C55B9" w:rsidRDefault="002C55B9" w:rsidP="002C55B9">
      <w:pPr>
        <w:ind w:firstLine="708"/>
        <w:jc w:val="both"/>
        <w:rPr>
          <w:rFonts w:ascii="Calibri" w:hAnsi="Calibri" w:cs="Calibri"/>
          <w:b/>
          <w:bCs/>
          <w:i/>
          <w:iCs/>
          <w:color w:val="767171" w:themeColor="background2" w:themeShade="80"/>
          <w:sz w:val="20"/>
          <w:szCs w:val="20"/>
        </w:rPr>
      </w:pPr>
    </w:p>
    <w:p w:rsidR="002C55B9" w:rsidRDefault="002C55B9" w:rsidP="002C55B9">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a lo argumentado en el considerando Noveno de esta misma resolución . . . . . . . . . . . . . . . . . . . . . . . . . . . . . . . . . . . . . . . . . . . . . . . . . . . . . . . . . . . .</w:t>
      </w:r>
    </w:p>
    <w:p w:rsidR="002C55B9" w:rsidRDefault="002C55B9" w:rsidP="002C55B9">
      <w:pPr>
        <w:ind w:firstLine="708"/>
        <w:jc w:val="both"/>
        <w:rPr>
          <w:rFonts w:ascii="Calibri" w:hAnsi="Calibri" w:cs="Calibri"/>
          <w:b/>
          <w:color w:val="767171" w:themeColor="background2" w:themeShade="80"/>
          <w:sz w:val="20"/>
          <w:szCs w:val="20"/>
        </w:rPr>
      </w:pPr>
    </w:p>
    <w:p w:rsidR="002C55B9" w:rsidRDefault="002C55B9" w:rsidP="002C55B9">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2C55B9" w:rsidRDefault="002C55B9" w:rsidP="002C55B9">
      <w:pPr>
        <w:jc w:val="both"/>
        <w:rPr>
          <w:rFonts w:ascii="Calibri" w:hAnsi="Calibri" w:cs="Calibri"/>
          <w:color w:val="767171" w:themeColor="background2" w:themeShade="80"/>
          <w:sz w:val="20"/>
          <w:szCs w:val="20"/>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2C55B9" w:rsidRDefault="002C55B9" w:rsidP="002C55B9">
      <w:pPr>
        <w:pStyle w:val="Textoindependiente"/>
        <w:rPr>
          <w:rFonts w:ascii="Calibri" w:hAnsi="Calibri" w:cs="Calibri"/>
          <w:color w:val="767171" w:themeColor="background2" w:themeShade="80"/>
          <w:sz w:val="20"/>
          <w:szCs w:val="20"/>
        </w:rPr>
      </w:pPr>
    </w:p>
    <w:p w:rsidR="002C55B9" w:rsidRDefault="002C55B9" w:rsidP="002C55B9">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C55B9" w:rsidRDefault="002C55B9" w:rsidP="002C55B9">
      <w:pPr>
        <w:pStyle w:val="Textoindependiente"/>
        <w:rPr>
          <w:rFonts w:ascii="Calibri" w:hAnsi="Calibri" w:cs="Calibri"/>
          <w:color w:val="767171" w:themeColor="background2" w:themeShade="80"/>
          <w:sz w:val="20"/>
          <w:szCs w:val="20"/>
        </w:rPr>
      </w:pPr>
    </w:p>
    <w:p w:rsidR="002C55B9" w:rsidRDefault="002C55B9" w:rsidP="002C55B9">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w:t>
      </w:r>
      <w:r>
        <w:rPr>
          <w:rFonts w:ascii="Calibri" w:hAnsi="Calibri" w:cs="Calibri"/>
          <w:color w:val="767171" w:themeColor="background2" w:themeShade="80"/>
          <w:sz w:val="26"/>
          <w:szCs w:val="26"/>
        </w:rPr>
        <w:lastRenderedPageBreak/>
        <w:t xml:space="preserve">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2C55B9" w:rsidRDefault="004F58FC">
      <w:pPr>
        <w:rPr>
          <w:lang w:val="es-MX"/>
        </w:rPr>
      </w:pPr>
      <w:bookmarkStart w:id="0" w:name="_GoBack"/>
      <w:bookmarkEnd w:id="0"/>
    </w:p>
    <w:sectPr w:rsidR="004F58FC" w:rsidRPr="002C55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B9"/>
    <w:rsid w:val="002C55B9"/>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0F8AE-031E-48DD-9FD6-B899E2F6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B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55B9"/>
    <w:pPr>
      <w:jc w:val="both"/>
    </w:pPr>
    <w:rPr>
      <w:lang w:val="es-MX"/>
    </w:rPr>
  </w:style>
  <w:style w:type="character" w:customStyle="1" w:styleId="TextoindependienteCar">
    <w:name w:val="Texto independiente Car"/>
    <w:basedOn w:val="Fuentedeprrafopredeter"/>
    <w:link w:val="Textoindependiente"/>
    <w:rsid w:val="002C55B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C55B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C55B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3374</Words>
  <Characters>18559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2017-08-31T17:14:00Z</dcterms:created>
  <dcterms:modified xsi:type="dcterms:W3CDTF">2017-08-31T17:14:00Z</dcterms:modified>
</cp:coreProperties>
</file>